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right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Bdr/>
        <w:spacing/>
        <w:ind/>
        <w:jc w:val="right"/>
        <w:rPr>
          <w:sz w:val="22"/>
        </w:rPr>
      </w:pP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111760</wp:posOffset>
                </wp:positionV>
                <wp:extent cx="457200" cy="568960"/>
                <wp:effectExtent l="19050" t="0" r="0" b="0"/>
                <wp:wrapNone/>
                <wp:docPr id="1" name="Рисунок 1" descr="Герб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Герб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57200" cy="5689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9264;o:allowoverlap:true;o:allowincell:true;mso-position-horizontal-relative:text;margin-left:208.95pt;mso-position-horizontal:absolute;mso-position-vertical-relative:text;margin-top:8.80pt;mso-position-vertical:absolute;width:36.00pt;height:44.80pt;mso-wrap-distance-left:9.00pt;mso-wrap-distance-top:0.00pt;mso-wrap-distance-right:9.00pt;mso-wrap-distance-bottom:0.00pt;z-index:1;" stroked="false">
                <v:imagedata r:id="rId10" o:title=""/>
                <o:lock v:ext="edit" rotation="t"/>
              </v:shape>
            </w:pict>
          </mc:Fallback>
        </mc:AlternateContent>
      </w:r>
      <w:r>
        <w:rPr>
          <w:sz w:val="22"/>
        </w:rPr>
        <w:t xml:space="preserve">ПРОЕКТ</w:t>
      </w:r>
      <w:r>
        <w:rPr>
          <w:sz w:val="22"/>
        </w:rPr>
      </w:r>
      <w:r>
        <w:rPr>
          <w:sz w:val="22"/>
        </w:rPr>
      </w:r>
    </w:p>
    <w:p>
      <w:pPr>
        <w:pBdr/>
        <w:spacing/>
        <w:ind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Bdr/>
        <w:spacing/>
        <w:ind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Bdr/>
        <w:spacing/>
        <w:ind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3"/>
        <w:pBdr/>
        <w:spacing/>
        <w:ind/>
        <w:outlineLvl w:val="0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КИРОВО-ЧЕПЕЦКАЯ ГОРОДСКАЯ ДУМА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3"/>
        <w:pBdr/>
        <w:spacing/>
        <w:ind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ШЕСТОГО СОЗЫВА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3"/>
        <w:pBdr/>
        <w:spacing/>
        <w:ind/>
        <w:outlineLvl w:val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РЕШЕНИЕ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360" w:lineRule="auto"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9606" w:type="dxa"/>
        <w:tblBorders/>
        <w:tblLook w:val="01E0" w:firstRow="1" w:lastRow="1" w:firstColumn="1" w:lastColumn="1" w:noHBand="0" w:noVBand="0"/>
      </w:tblPr>
      <w:tblGrid>
        <w:gridCol w:w="4780"/>
        <w:gridCol w:w="4826"/>
      </w:tblGrid>
      <w:tr>
        <w:trPr/>
        <w:tc>
          <w:tcPr>
            <w:tcBorders/>
            <w:tcW w:w="4780" w:type="dxa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/>
            <w:tcW w:w="4826" w:type="dxa"/>
            <w:textDirection w:val="lrTb"/>
            <w:noWrap w:val="false"/>
          </w:tcPr>
          <w:p>
            <w:pPr>
              <w:pBdr/>
              <w:tabs>
                <w:tab w:val="left" w:leader="none" w:pos="1620"/>
                <w:tab w:val="left" w:leader="none" w:pos="2993"/>
              </w:tabs>
              <w:spacing/>
              <w:ind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№ </w:t>
            </w:r>
            <w:r>
              <w:rPr>
                <w:b/>
                <w:sz w:val="24"/>
                <w:szCs w:val="24"/>
                <w:lang w:eastAsia="en-US"/>
              </w:rPr>
              <w:t xml:space="preserve">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Bdr/>
        <w:tabs>
          <w:tab w:val="left" w:leader="none" w:pos="1620"/>
        </w:tabs>
        <w:spacing w:line="480" w:lineRule="auto"/>
        <w:ind/>
        <w:jc w:val="center"/>
        <w:rPr>
          <w:b/>
          <w:szCs w:val="28"/>
        </w:rPr>
      </w:pP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. Кирово-Чепецк</w:t>
      </w:r>
      <w:r>
        <w:rPr>
          <w:b/>
          <w:szCs w:val="28"/>
        </w:rPr>
      </w:r>
      <w:r>
        <w:rPr>
          <w:b/>
          <w:szCs w:val="28"/>
        </w:rPr>
      </w:r>
    </w:p>
    <w:p>
      <w:pPr>
        <w:pBdr/>
        <w:spacing/>
        <w: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 утверждении изменений в прогнозный план (программу)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/>
        <w: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приватизации имущества, находящегося в муниципальной собственности муниципального образования «Город Кирово-Чепецк» Кировской области,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/>
        <w: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202</w:t>
      </w:r>
      <w:r>
        <w:rPr>
          <w:b/>
          <w:sz w:val="24"/>
          <w:szCs w:val="24"/>
        </w:rPr>
        <w:t xml:space="preserve">4</w:t>
      </w:r>
      <w:r>
        <w:rPr>
          <w:b/>
          <w:sz w:val="24"/>
          <w:szCs w:val="24"/>
        </w:rPr>
        <w:t xml:space="preserve">-202</w:t>
      </w:r>
      <w:r>
        <w:rPr>
          <w:b/>
          <w:sz w:val="24"/>
          <w:szCs w:val="24"/>
        </w:rPr>
        <w:t xml:space="preserve">6</w:t>
      </w:r>
      <w:r>
        <w:rPr>
          <w:b/>
          <w:sz w:val="24"/>
          <w:szCs w:val="24"/>
        </w:rPr>
        <w:t xml:space="preserve"> годы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360" w:lineRule="auto"/>
        <w:ind w:firstLine="567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Федеральным </w:t>
      </w:r>
      <w:hyperlink r:id="rId11" w:tooltip="https://login.consultant.ru/link/?req=doc&amp;base=LAW&amp;n=474031&amp;date=04.10.2024" w:history="1">
        <w:r>
          <w:rPr>
            <w:rStyle w:val="841"/>
            <w:rFonts w:ascii="Times New Roman" w:hAnsi="Times New Roman" w:eastAsia="Times New Roman" w:cs="Times New Roman"/>
            <w:color w:val="000000" w:themeColor="text1"/>
            <w:sz w:val="24"/>
            <w:u w:val="none"/>
          </w:rPr>
          <w:t xml:space="preserve">законом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 от 21.12.2001 № 178-ФЗ «О приватизации государственного и муниципального имущества</w:t>
      </w:r>
      <w:r>
        <w:rPr>
          <w:sz w:val="24"/>
          <w:szCs w:val="24"/>
        </w:rPr>
        <w:t xml:space="preserve">», руководствуясь Уставом муниципального образования городской округ «Город Кирово-Чепецк» Кировской области, Порядком</w:t>
      </w:r>
      <w:r>
        <w:rPr>
          <w:sz w:val="24"/>
          <w:szCs w:val="24"/>
        </w:rPr>
        <w:t xml:space="preserve"> управления и распоряжения имуществом, находящимся в муниципальной собственности муниципального образования «Город Кирово-Чепецк» Кировской области, утвержденным </w:t>
      </w:r>
      <w:r>
        <w:rPr>
          <w:sz w:val="24"/>
          <w:szCs w:val="24"/>
        </w:rPr>
        <w:t xml:space="preserve"> решением Кирово-Чепецкой городской Думы от 28.05.2021 № 6/29, Кирово-Чепецкая городская Дума РЕШИЛА: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55"/>
        <w:pBdr/>
        <w:spacing w:line="360" w:lineRule="auto"/>
        <w:ind w:firstLine="567"/>
        <w:jc w:val="both"/>
        <w:outlineLvl w:val="0"/>
        <w:rPr>
          <w:b w:val="0"/>
        </w:rPr>
      </w:pPr>
      <w:r>
        <w:rPr>
          <w:b w:val="0"/>
        </w:rPr>
        <w:t xml:space="preserve">1. </w:t>
      </w:r>
      <w:r>
        <w:rPr>
          <w:b w:val="0"/>
        </w:rPr>
        <w:t xml:space="preserve">Внести и утвердить </w:t>
      </w:r>
      <w:r>
        <w:rPr>
          <w:b w:val="0"/>
        </w:rPr>
        <w:t xml:space="preserve">следующие изменения </w:t>
      </w:r>
      <w:r>
        <w:rPr>
          <w:b w:val="0"/>
        </w:rPr>
        <w:t xml:space="preserve">в прогнозный план (программу</w:t>
      </w:r>
      <w:r>
        <w:rPr>
          <w:b w:val="0"/>
        </w:rPr>
        <w:t xml:space="preserve">)</w:t>
      </w:r>
      <w:r>
        <w:rPr>
          <w:b w:val="0"/>
        </w:rPr>
        <w:t xml:space="preserve"> приватизации имущества, находящегося в муниципальной собственности муниципального образования «Город Кирово-Чепецк» Кировской области, на 202</w:t>
      </w:r>
      <w:r>
        <w:rPr>
          <w:b w:val="0"/>
        </w:rPr>
        <w:t xml:space="preserve">4</w:t>
      </w:r>
      <w:r>
        <w:rPr>
          <w:b w:val="0"/>
        </w:rPr>
        <w:t xml:space="preserve">-202</w:t>
      </w:r>
      <w:r>
        <w:rPr>
          <w:b w:val="0"/>
        </w:rPr>
        <w:t xml:space="preserve">6</w:t>
      </w:r>
      <w:r>
        <w:rPr>
          <w:b w:val="0"/>
        </w:rPr>
        <w:t xml:space="preserve"> годы, утвержденный решением Кирово-Чепецкой городской Думы от </w:t>
      </w:r>
      <w:r>
        <w:rPr>
          <w:b w:val="0"/>
        </w:rPr>
        <w:t xml:space="preserve">26.1</w:t>
      </w:r>
      <w:r>
        <w:rPr>
          <w:b w:val="0"/>
        </w:rPr>
        <w:t xml:space="preserve">0</w:t>
      </w:r>
      <w:r>
        <w:rPr>
          <w:b w:val="0"/>
        </w:rPr>
        <w:t xml:space="preserve">.2022</w:t>
      </w:r>
      <w:r>
        <w:rPr>
          <w:b w:val="0"/>
        </w:rPr>
        <w:t xml:space="preserve"> № </w:t>
      </w:r>
      <w:r>
        <w:rPr>
          <w:b w:val="0"/>
        </w:rPr>
        <w:t xml:space="preserve">13/56 (с изменениями, внесенными и утвержденными решением Кирово-Чепецкой городской Думы от 31.01.2024 № 1/4)</w:t>
      </w:r>
      <w:r>
        <w:rPr>
          <w:b w:val="0"/>
        </w:rPr>
        <w:t xml:space="preserve">:</w:t>
      </w:r>
      <w:r>
        <w:rPr>
          <w:b w:val="0"/>
        </w:rPr>
      </w:r>
      <w:r>
        <w:rPr>
          <w:b w:val="0"/>
        </w:rPr>
      </w:r>
    </w:p>
    <w:p>
      <w:pPr>
        <w:pStyle w:val="855"/>
        <w:pBdr/>
        <w:spacing w:line="360" w:lineRule="auto"/>
        <w:ind w:firstLine="567"/>
        <w:jc w:val="both"/>
        <w:outlineLvl w:val="0"/>
        <w:rPr>
          <w:b w:val="0"/>
        </w:rPr>
      </w:pPr>
      <w:r>
        <w:rPr>
          <w:b w:val="0"/>
        </w:rPr>
        <w:t xml:space="preserve">1.</w:t>
      </w:r>
      <w:r>
        <w:rPr>
          <w:b w:val="0"/>
        </w:rPr>
        <w:t xml:space="preserve">1</w:t>
      </w:r>
      <w:r>
        <w:rPr>
          <w:b w:val="0"/>
        </w:rPr>
        <w:t xml:space="preserve">. </w:t>
      </w:r>
      <w:r>
        <w:rPr>
          <w:b w:val="0"/>
        </w:rPr>
        <w:t xml:space="preserve">Абзац </w:t>
      </w:r>
      <w:r>
        <w:rPr>
          <w:b w:val="0"/>
        </w:rPr>
        <w:t xml:space="preserve">шестой </w:t>
      </w:r>
      <w:r>
        <w:rPr>
          <w:b w:val="0"/>
        </w:rPr>
        <w:t xml:space="preserve">пункта 1.3 изложить в </w:t>
      </w:r>
      <w:r>
        <w:rPr>
          <w:b w:val="0"/>
        </w:rPr>
        <w:t xml:space="preserve">новой </w:t>
      </w:r>
      <w:r>
        <w:rPr>
          <w:b w:val="0"/>
        </w:rPr>
        <w:t xml:space="preserve">редакции</w:t>
      </w:r>
      <w:r>
        <w:rPr>
          <w:b w:val="0"/>
        </w:rPr>
        <w:t xml:space="preserve">:</w:t>
      </w:r>
      <w:r>
        <w:rPr>
          <w:b w:val="0"/>
        </w:rPr>
      </w:r>
      <w:r>
        <w:rPr>
          <w:b w:val="0"/>
        </w:rPr>
      </w:r>
    </w:p>
    <w:p>
      <w:pPr>
        <w:pStyle w:val="855"/>
        <w:pBdr/>
        <w:spacing w:line="360" w:lineRule="auto"/>
        <w:ind w:firstLine="567"/>
        <w:jc w:val="both"/>
        <w:outlineLvl w:val="0"/>
        <w:rPr>
          <w:b w:val="0"/>
        </w:rPr>
      </w:pPr>
      <w:r>
        <w:rPr>
          <w:b w:val="0"/>
        </w:rPr>
        <w:t xml:space="preserve">«</w:t>
      </w:r>
      <w:r>
        <w:rPr>
          <w:b w:val="0"/>
        </w:rPr>
        <w:t xml:space="preserve">- в 202</w:t>
      </w:r>
      <w:r>
        <w:rPr>
          <w:b w:val="0"/>
        </w:rPr>
        <w:t xml:space="preserve">4</w:t>
      </w:r>
      <w:r>
        <w:rPr>
          <w:b w:val="0"/>
        </w:rPr>
        <w:t xml:space="preserve"> году в разм</w:t>
      </w:r>
      <w:r>
        <w:rPr>
          <w:b w:val="0"/>
          <w:highlight w:val="white"/>
        </w:rPr>
        <w:t xml:space="preserve">ере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1</w:t>
      </w:r>
      <w:r>
        <w:rPr>
          <w:b w:val="0"/>
          <w:highlight w:val="white"/>
        </w:rPr>
        <w:t xml:space="preserve">9 924,3</w:t>
      </w:r>
      <w:r>
        <w:rPr>
          <w:b w:val="0"/>
          <w:highlight w:val="white"/>
        </w:rPr>
        <w:t xml:space="preserve"> </w:t>
      </w:r>
      <w:r>
        <w:rPr>
          <w:b w:val="0"/>
          <w:highlight w:val="white"/>
        </w:rPr>
        <w:t xml:space="preserve">т</w:t>
      </w:r>
      <w:r>
        <w:rPr>
          <w:b w:val="0"/>
        </w:rPr>
        <w:t xml:space="preserve">ыс. рублей, в том числе от продажи земельных</w:t>
      </w:r>
      <w:r>
        <w:rPr>
          <w:b w:val="0"/>
        </w:rPr>
        <w:t xml:space="preserve"> </w:t>
      </w:r>
      <w:r>
        <w:rPr>
          <w:b w:val="0"/>
        </w:rPr>
        <w:t xml:space="preserve">участков – </w:t>
      </w:r>
      <w:r>
        <w:rPr>
          <w:b w:val="0"/>
          <w:highlight w:val="none"/>
        </w:rPr>
        <w:t xml:space="preserve">2 716,3</w:t>
      </w:r>
      <w:r>
        <w:rPr>
          <w:b w:val="0"/>
        </w:rPr>
        <w:t xml:space="preserve"> тыс. рублей</w:t>
      </w:r>
      <w:r>
        <w:rPr>
          <w:b w:val="0"/>
        </w:rPr>
        <w:t xml:space="preserve">;</w:t>
      </w:r>
      <w:r>
        <w:rPr>
          <w:b w:val="0"/>
        </w:rPr>
        <w:t xml:space="preserve">». </w:t>
      </w:r>
      <w:r>
        <w:rPr>
          <w:b w:val="0"/>
        </w:rPr>
      </w:r>
      <w:r>
        <w:rPr>
          <w:b w:val="0"/>
        </w:rPr>
      </w:r>
    </w:p>
    <w:p>
      <w:pPr>
        <w:pBdr/>
        <w:spacing w:line="36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1.2</w:t>
      </w:r>
      <w:bookmarkStart w:id="0" w:name="_GoBack"/>
      <w:r/>
      <w:bookmarkEnd w:id="0"/>
      <w:r>
        <w:rPr>
          <w:sz w:val="24"/>
          <w:szCs w:val="24"/>
        </w:rPr>
        <w:t xml:space="preserve">. Таблицу пункта 2.</w:t>
      </w:r>
      <w:r>
        <w:rPr>
          <w:rFonts w:ascii="Times New Roman" w:hAnsi="Times New Roman" w:cs="Times New Roman"/>
          <w:sz w:val="24"/>
          <w:szCs w:val="24"/>
        </w:rPr>
        <w:t xml:space="preserve">2 изложить в новой редакции: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906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52"/>
        <w:gridCol w:w="1984"/>
        <w:gridCol w:w="2047"/>
        <w:gridCol w:w="1417"/>
        <w:gridCol w:w="2047"/>
        <w:gridCol w:w="1560"/>
      </w:tblGrid>
      <w:tr>
        <w:trPr>
          <w:trHeight w:val="10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муниципального имущества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Местонахождение, назначение, кадастровый номер муниципального имущества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(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г. Кирово-Чепецк,)</w:t>
            </w:r>
            <w:r>
              <w:rPr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Площадь муниципального имущества, кв.м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Предпола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гаемый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приватизации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6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Нежилые помещения, расположенные в жилых домах в цокольном, подвальном, на первом этажах жилых домов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10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Помещение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Луначарского, д. 4, пом. 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назначение: нежилое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(кадастровый номер 43:42:000055:4307)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11,8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11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Помещение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Луначарского, д. 4, пом. 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назначение: нежилое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(кадастровый номер 43:42:000055:4308)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2,5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10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Помещение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Луначарского, д. 4, пом. 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назначение: нежилое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(кадастровый номер 43:42:000055:4309)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260,9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10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Помещение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Молодежная, д. 13, пом. 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назначение: нежилое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(кадастровый номер: 43:42:000065:2232</w:t>
            </w:r>
            <w:r>
              <w:rPr>
                <w:color w:val="000000"/>
                <w:sz w:val="24"/>
                <w:szCs w:val="24"/>
              </w:rPr>
              <w:t xml:space="preserve">)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378,9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10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Помещение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Сосновая, д. 34, </w:t>
            </w:r>
            <w:r>
              <w:rPr>
                <w:color w:val="000000"/>
                <w:sz w:val="24"/>
                <w:szCs w:val="24"/>
              </w:rPr>
              <w:t xml:space="preserve">помещ</w:t>
            </w:r>
            <w:r>
              <w:rPr>
                <w:color w:val="000000"/>
                <w:sz w:val="24"/>
                <w:szCs w:val="24"/>
              </w:rPr>
              <w:t xml:space="preserve">. 2 назначение: нежилое (кадастровый номер: 43:42:000059:5176)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46,8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10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Помещение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Сосновая, д. 34, </w:t>
            </w:r>
            <w:r>
              <w:rPr>
                <w:color w:val="000000"/>
                <w:sz w:val="24"/>
                <w:szCs w:val="24"/>
              </w:rPr>
              <w:t xml:space="preserve">помещ</w:t>
            </w:r>
            <w:r>
              <w:rPr>
                <w:color w:val="000000"/>
                <w:sz w:val="24"/>
                <w:szCs w:val="24"/>
              </w:rPr>
              <w:t xml:space="preserve">. 3 назначение: нежилое (кадастровый номер: 43:42:000059:5177)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34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10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Помещение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Сосновая, д. 34, </w:t>
            </w:r>
            <w:r>
              <w:rPr>
                <w:color w:val="000000"/>
                <w:sz w:val="24"/>
                <w:szCs w:val="24"/>
              </w:rPr>
              <w:t xml:space="preserve">помещ</w:t>
            </w:r>
            <w:r>
              <w:rPr>
                <w:color w:val="000000"/>
                <w:sz w:val="24"/>
                <w:szCs w:val="24"/>
              </w:rPr>
              <w:t xml:space="preserve">. 4 назначение: нежилое (кадастровый номер: 43:42:000059:5178)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26,2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10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Помещение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Сосновая, д. 34, </w:t>
            </w:r>
            <w:r>
              <w:rPr>
                <w:color w:val="000000"/>
                <w:sz w:val="24"/>
                <w:szCs w:val="24"/>
              </w:rPr>
              <w:t xml:space="preserve">помещ</w:t>
            </w:r>
            <w:r>
              <w:rPr>
                <w:color w:val="000000"/>
                <w:sz w:val="24"/>
                <w:szCs w:val="24"/>
              </w:rPr>
              <w:t xml:space="preserve">. 5 назначение: нежилое (кадастровый номер: 43:42:000059:5179)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2,2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10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Помещение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Сосновая, д. 34, </w:t>
            </w:r>
            <w:r>
              <w:rPr>
                <w:color w:val="000000"/>
                <w:sz w:val="24"/>
                <w:szCs w:val="24"/>
              </w:rPr>
              <w:t xml:space="preserve">помещ</w:t>
            </w:r>
            <w:r>
              <w:rPr>
                <w:color w:val="000000"/>
                <w:sz w:val="24"/>
                <w:szCs w:val="24"/>
              </w:rPr>
              <w:t xml:space="preserve">. 6 назначение: нежилое (кадастровый номер: 43:42:000059:5180)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2,2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10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Помещение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Сосновая, д. 34, </w:t>
            </w:r>
            <w:r>
              <w:rPr>
                <w:color w:val="000000"/>
                <w:sz w:val="24"/>
                <w:szCs w:val="24"/>
              </w:rPr>
              <w:t xml:space="preserve">помещ</w:t>
            </w:r>
            <w:r>
              <w:rPr>
                <w:color w:val="000000"/>
                <w:sz w:val="24"/>
                <w:szCs w:val="24"/>
              </w:rPr>
              <w:t xml:space="preserve">. 7 назначение: нежилое (кадастровый номер: 43:42:000059:5181)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2,3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10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Помещение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Сосновая, д. 34, </w:t>
            </w:r>
            <w:r>
              <w:rPr>
                <w:color w:val="000000"/>
                <w:sz w:val="24"/>
                <w:szCs w:val="24"/>
              </w:rPr>
              <w:t xml:space="preserve">помещ</w:t>
            </w:r>
            <w:r>
              <w:rPr>
                <w:color w:val="000000"/>
                <w:sz w:val="24"/>
                <w:szCs w:val="24"/>
              </w:rPr>
              <w:t xml:space="preserve">. 8 назначение: нежилое (кадастровый номер: 43:42:000059:5182)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1,1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136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0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в 2024 году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768,9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кв.м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482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6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Нежилые помещения, расположенные в зданиях, здания с земельными участками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проспект Кирова, д. 16, пом. 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назначение: нежилое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(кадастровый номер 43:42:000034:686)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68,8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проспект Кирова, д. 16, пом. 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назначение: нежилое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(кадастровый номер 43:42:000034:685)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66,5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2.3.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проспект Кирова, д. 16, пом. 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назначение: нежилое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(кадастровый номер 43:42:000034:684)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61,9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12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vMerge w:val="restart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2.4.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Нежилое здание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просп. Кирова, д. 24а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назначение: нежилое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(кадастровый номер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43:42:000035:81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535,5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7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vMerge w:val="restart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кадастровый номер 43:42:000034:24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vMerge w:val="restart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1 345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</w:p>
        </w:tc>
      </w:tr>
      <w:tr>
        <w:trPr>
          <w:trHeight w:val="10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line="256" w:lineRule="auto"/>
              <w:ind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2.5.</w:t>
            </w:r>
            <w:r>
              <w:rPr>
                <w:rFonts w:eastAsiaTheme="minorEastAsia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Здание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vMerge w:val="restart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Калинина, дом 16а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назначение: нежилое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(кадастровый номер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43:42:300036:553)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vMerge w:val="restart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847,2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Bdr/>
              <w:spacing w:line="256" w:lineRule="auto"/>
              <w: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</w:r>
            <w:r>
              <w:rPr>
                <w:rFonts w:eastAsiaTheme="minorEastAsia"/>
                <w:sz w:val="24"/>
                <w:szCs w:val="24"/>
                <w:lang w:eastAsia="en-US"/>
              </w:rPr>
            </w:r>
            <w:r>
              <w:rPr>
                <w:rFonts w:eastAsiaTheme="minorEastAsia"/>
                <w:sz w:val="24"/>
                <w:szCs w:val="24"/>
                <w:lang w:eastAsia="en-US"/>
              </w:rPr>
            </w:r>
          </w:p>
        </w:tc>
      </w:tr>
      <w:tr>
        <w:trPr>
          <w:trHeight w:val="5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кадастровый номер 43:42:300036:77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7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3 841+/-22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</w:p>
        </w:tc>
      </w:tr>
      <w:tr>
        <w:trPr>
          <w:trHeight w:val="582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300" w:type="dxa"/>
            <w:vAlign w:val="center"/>
            <w:vMerge w:val="restart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в 2024 году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vAlign w:val="center"/>
            <w:textDirection w:val="lrTb"/>
            <w:noWrap w:val="false"/>
          </w:tcPr>
          <w:p>
            <w:pPr>
              <w:pBdr/>
              <w:spacing w:line="256" w:lineRule="auto"/>
              <w: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помещения, здания – 1 579,9 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кв.м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.</w:t>
            </w:r>
            <w:r>
              <w:rPr>
                <w:rFonts w:eastAsiaTheme="minorEastAsia"/>
                <w:sz w:val="24"/>
                <w:szCs w:val="24"/>
                <w:lang w:eastAsia="en-US"/>
              </w:rPr>
            </w:r>
            <w:r>
              <w:rPr>
                <w:rFonts w:eastAsiaTheme="minorEastAsia"/>
                <w:sz w:val="24"/>
                <w:szCs w:val="24"/>
                <w:lang w:eastAsia="en-US"/>
              </w:rPr>
            </w:r>
          </w:p>
        </w:tc>
      </w:tr>
      <w:tr>
        <w:trPr>
          <w:trHeight w:val="582"/>
        </w:trPr>
        <w:tc>
          <w:tcPr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00" w:type="dxa"/>
            <w:vAlign w:val="center"/>
            <w:vMerge w:val="continue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7" w:type="dxa"/>
            <w:vAlign w:val="center"/>
            <w:textDirection w:val="lrTb"/>
            <w:noWrap w:val="false"/>
          </w:tcPr>
          <w:p>
            <w:pPr>
              <w:pBdr/>
              <w:spacing w:line="256" w:lineRule="auto"/>
              <w:ind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з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емельные участки – 5 186 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кв.м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.</w:t>
            </w:r>
            <w:r>
              <w:rPr>
                <w:rFonts w:eastAsiaTheme="minorEastAsia"/>
                <w:sz w:val="24"/>
                <w:szCs w:val="24"/>
                <w:lang w:eastAsia="en-US"/>
              </w:rPr>
            </w:r>
            <w:r>
              <w:rPr>
                <w:rFonts w:eastAsiaTheme="minorEastAsia"/>
                <w:sz w:val="24"/>
                <w:szCs w:val="24"/>
                <w:lang w:eastAsia="en-US"/>
              </w:rPr>
            </w:r>
          </w:p>
        </w:tc>
      </w:tr>
      <w:tr>
        <w:trPr>
          <w:trHeight w:val="457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6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Движимое имущество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4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Охранная сигнализация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(инв. № ХИ1101061067)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6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Пожарная сигнализация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(инв. № МО1101341073)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3.3.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Счетчик горячей воды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(инв. № МО110104152)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3.4.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Счетчик холодной воды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(инв. № МО0101041038)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3.5.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Вентилятор ВЦ4-70-4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(инв. №2101041070)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3.6.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Вентилятор промышленный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(инв. № МО0101041026)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3.7.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Стерилизатор паровой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(инв. № МО0101041020)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3.8.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Шкаф для стерилизации посуды (инв. № МО0101041019)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3.9.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Шкаф сушильный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(инв. № МО0101041017)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3.10.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Шкаф сушильный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(инв. № МО0101041018)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Шкаф-термостат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(инв. № МО0101041007)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Электрокотел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(инв. № МО0101041002)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3.13.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Электрокотел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(инв. № МО010104100</w:t>
            </w:r>
            <w:r>
              <w:rPr>
                <w:sz w:val="24"/>
                <w:szCs w:val="24"/>
                <w:lang w:eastAsia="en-US"/>
              </w:rPr>
              <w:t xml:space="preserve">3</w:t>
            </w:r>
            <w:r>
              <w:rPr>
                <w:sz w:val="24"/>
                <w:szCs w:val="24"/>
                <w:lang w:eastAsia="en-US"/>
              </w:rPr>
              <w:t xml:space="preserve">)</w:t>
            </w: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3.14.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</w:t>
            </w:r>
            <w:r>
              <w:rPr>
                <w:sz w:val="24"/>
                <w:szCs w:val="24"/>
                <w:lang w:eastAsia="en-US"/>
              </w:rPr>
              <w:t xml:space="preserve">лектрокотел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(инв. № МО0101041005</w:t>
            </w:r>
            <w:r>
              <w:rPr>
                <w:sz w:val="24"/>
                <w:szCs w:val="24"/>
                <w:lang w:eastAsia="en-US"/>
              </w:rPr>
              <w:t xml:space="preserve">)</w:t>
            </w: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3.15.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Стерилизатор паровой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(инв. № МО0101041021)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3.16.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Ванна моечная 14 (инв. № б/н)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3.17.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Бутыломоечная машина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(инв. № МО0101041029)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3.18.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Дозировочная машина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(инв. № МО0101041028)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3.19.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Дозировочная машина ДОЗА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(инв. № МО0101041031)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>
          <w:trHeight w:val="6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3.20.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Установка разлива УД-2 (250)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(инв. № ХИ1101061058)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3.21.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Корзина (сетка для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сосклетов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старая) 43 в количестве 35 шт.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3.22.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Корзина для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сосклетов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количестве 114 шт. 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№ ХИ1101061077)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3.23.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Насос во фляжной 21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3.24.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Вентилятор 99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просп. Кирова, д. 24а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/>
            <w:r/>
          </w:p>
        </w:tc>
      </w:tr>
      <w:tr>
        <w:trPr>
          <w:trHeight w:val="457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6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Имущественные комплексы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унитарных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учредителем которых выступает муниципальное образование «Город Кирово-Чепецк» Кировской области,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путем преобразования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в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зяйственные общества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унитарное предприятие </w:t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«Водно-канализационное хозяйство» города Кирово-Чепецка Кировской области (ИНН 4312151764, ОГРН 1154350014983)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дрес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юридического лица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613040, Кировская область, 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Кирово-Чепецк, ул. Ленина, </w:t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д. 36/2</w:t>
            </w:r>
            <w:r>
              <w:rPr>
                <w:sz w:val="24"/>
                <w:szCs w:val="24"/>
                <w:lang w:eastAsia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vMerge w:val="restart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4.2.</w:t>
            </w:r>
            <w:r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vMerge w:val="restart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униципальное унитарное предприятие «Городская управляющая жилищно-эксплуатационная компания № 6» города Кирово-Чепецка Кировской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ИНН 4312129046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ОГРН 1044313501847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дрес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юридического лица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613050, Кировская область, 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г. Кирово-Чепецк, </w:t>
            </w:r>
            <w:r>
              <w:rPr>
                <w:sz w:val="24"/>
                <w:szCs w:val="24"/>
              </w:rPr>
              <w:t xml:space="preserve">пр</w:t>
            </w:r>
            <w:r>
              <w:rPr>
                <w:sz w:val="24"/>
                <w:szCs w:val="24"/>
              </w:rPr>
              <w:t xml:space="preserve">-д Дзержинского, д.6, </w:t>
            </w:r>
            <w:r>
              <w:rPr>
                <w:sz w:val="24"/>
                <w:szCs w:val="24"/>
              </w:rPr>
              <w:t xml:space="preserve">к.а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4.3.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1" w:type="dxa"/>
            <w:vAlign w:val="center"/>
            <w:textDirection w:val="lrTb"/>
            <w:noWrap w:val="false"/>
          </w:tcPr>
          <w:p>
            <w:pPr>
              <w:pStyle w:val="862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униципальное унитарное предприятие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Жилищно-эксплуатационные услуги № 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 города Кирово-Чепецка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ИНН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4312134060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ОГРН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1064312006967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Адрес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юридического лица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613050, Кировская область, 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г. Кирово-Чепецк, </w:t>
            </w:r>
            <w:r>
              <w:rPr>
                <w:sz w:val="24"/>
                <w:szCs w:val="24"/>
              </w:rPr>
              <w:t xml:space="preserve">пр</w:t>
            </w:r>
            <w:r>
              <w:rPr>
                <w:sz w:val="24"/>
                <w:szCs w:val="24"/>
              </w:rPr>
              <w:t xml:space="preserve">-д Дзержинского, д.6, </w:t>
            </w:r>
            <w:r>
              <w:rPr>
                <w:sz w:val="24"/>
                <w:szCs w:val="24"/>
              </w:rPr>
              <w:t xml:space="preserve">к.а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2024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</w:tr>
    </w:tbl>
    <w:p>
      <w:pPr>
        <w:pBdr/>
        <w:spacing w:line="360" w:lineRule="auto"/>
        <w:ind w:firstLine="567"/>
        <w:jc w:val="both"/>
        <w:outlineLvl w:val="1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Bdr/>
        <w:spacing w:line="360" w:lineRule="auto"/>
        <w:ind w:firstLine="539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2. Настоящее решение вступает в силу после его официального опубликования.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Bdr/>
        <w:spacing/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муниципального образования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«Город Кирово-Чепецк» Кировской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области        </w:t>
      </w: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                                                                                       </w:t>
      </w:r>
      <w:r>
        <w:rPr>
          <w:sz w:val="24"/>
          <w:szCs w:val="24"/>
        </w:rPr>
        <w:t xml:space="preserve">Е.М. Савина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5"/>
        <w:widowControl w:val="true"/>
        <w:pBdr/>
        <w:spacing/>
        <w:ind/>
        <w:rPr>
          <w:b w:val="0"/>
        </w:rPr>
      </w:pPr>
      <w:r>
        <w:rPr>
          <w:b w:val="0"/>
        </w:rPr>
      </w:r>
      <w:r>
        <w:rPr>
          <w:b w:val="0"/>
        </w:rPr>
      </w:r>
      <w:r>
        <w:rPr>
          <w:b w:val="0"/>
        </w:rPr>
      </w:r>
    </w:p>
    <w:sectPr>
      <w:footnotePr/>
      <w:endnotePr/>
      <w:type w:val="nextPage"/>
      <w:pgSz w:h="16838" w:orient="portrait" w:w="11906"/>
      <w:pgMar w:top="567" w:right="566" w:bottom="851" w:left="1418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Segoe UI">
    <w:panose1 w:val="020B0502040204020203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1069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9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ascii="Times New Roman" w:hAnsi="Times New Roman" w:eastAsia="Times New Roman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420" w:left="1128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28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720" w:left="1428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88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080" w:left="1788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440" w:left="2148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440" w:left="2148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1800" w:left="2508"/>
      </w:pPr>
      <w:rPr>
        <w:rFonts w:hint="default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72">
    <w:name w:val="Table Grid Light"/>
    <w:basedOn w:val="84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3">
    <w:name w:val="Plain Table 1"/>
    <w:basedOn w:val="84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4">
    <w:name w:val="Plain Table 2"/>
    <w:basedOn w:val="84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5">
    <w:name w:val="Plain Table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6">
    <w:name w:val="Plain Table 4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7">
    <w:name w:val="Plain Table 5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8">
    <w:name w:val="Grid Table 1 Light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9">
    <w:name w:val="Grid Table 1 Light - Accent 1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0">
    <w:name w:val="Grid Table 1 Light - Accent 2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1">
    <w:name w:val="Grid Table 1 Light - Accent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2">
    <w:name w:val="Grid Table 1 Light - Accent 4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3">
    <w:name w:val="Grid Table 1 Light - Accent 5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4">
    <w:name w:val="Grid Table 1 Light - Accent 6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5">
    <w:name w:val="Grid Table 2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6">
    <w:name w:val="Grid Table 2 - Accent 1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7">
    <w:name w:val="Grid Table 2 - Accent 2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8">
    <w:name w:val="Grid Table 2 - Accent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9">
    <w:name w:val="Grid Table 2 - Accent 4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0">
    <w:name w:val="Grid Table 2 - Accent 5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1">
    <w:name w:val="Grid Table 2 - Accent 6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2">
    <w:name w:val="Grid Table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3">
    <w:name w:val="Grid Table 3 - Accent 1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4">
    <w:name w:val="Grid Table 3 - Accent 2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5">
    <w:name w:val="Grid Table 3 - Accent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6">
    <w:name w:val="Grid Table 3 - Accent 4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7">
    <w:name w:val="Grid Table 3 - Accent 5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Grid Table 3 - Accent 6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Grid Table 4"/>
    <w:basedOn w:val="8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Grid Table 4 - Accent 1"/>
    <w:basedOn w:val="8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Grid Table 4 - Accent 2"/>
    <w:basedOn w:val="8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Grid Table 4 - Accent 3"/>
    <w:basedOn w:val="8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Grid Table 4 - Accent 4"/>
    <w:basedOn w:val="8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4 - Accent 5"/>
    <w:basedOn w:val="8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4 - Accent 6"/>
    <w:basedOn w:val="8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5 Dark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5 Dark- Accent 1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5 Dark - Accent 2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5 Dark - Accent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5 Dark- Accent 4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5 Dark - Accent 5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5 Dark - Accent 6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6 Colorful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6 Colorful - Accent 1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6 Colorful - Accent 2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6 Colorful - Accent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6 Colorful - Accent 4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6 Colorful - Accent 5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6 Colorful - Accent 6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7 Colorful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7 Colorful - Accent 1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7 Colorful - Accent 2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7 Colorful - Accent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7 Colorful - Accent 4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7 Colorful - Accent 5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7 Colorful - Accent 6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List Table 1 Light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List Table 1 Light - Accent 1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List Table 1 Light - Accent 2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List Table 1 Light - Accent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List Table 1 Light - Accent 4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List Table 1 Light - Accent 5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List Table 1 Light - Accent 6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List Table 2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List Table 2 - Accent 1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List Table 2 - Accent 2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List Table 2 - Accent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List Table 2 - Accent 4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List Table 2 - Accent 5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List Table 2 - Accent 6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List Table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List Table 3 - Accent 1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List Table 3 - Accent 2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List Table 3 - Accent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List Table 3 - Accent 4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List Table 3 - Accent 5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List Table 3 - Accent 6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List Table 4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List Table 4 - Accent 1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List Table 4 - Accent 2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List Table 4 - Accent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4 - Accent 4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4 - Accent 5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4 - Accent 6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5 Dark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5 Dark - Accent 1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5 Dark - Accent 2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5 Dark - Accent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5 Dark - Accent 4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5 Dark - Accent 5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5 Dark - Accent 6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6 Colorful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6 Colorful - Accent 1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6 Colorful - Accent 2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6 Colorful - Accent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6 Colorful - Accent 4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6 Colorful - Accent 5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6 Colorful - Accent 6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7 Colorful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7 Colorful - Accent 1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7 Colorful - Accent 2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7 Colorful - Accent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7 Colorful - Accent 4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7 Colorful - Accent 5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7 Colorful - Accent 6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ned - Accent"/>
    <w:basedOn w:val="8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ned - Accent 1"/>
    <w:basedOn w:val="8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ned - Accent 2"/>
    <w:basedOn w:val="8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ned - Accent 3"/>
    <w:basedOn w:val="8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ned - Accent 4"/>
    <w:basedOn w:val="8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ned - Accent 5"/>
    <w:basedOn w:val="8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ned - Accent 6"/>
    <w:basedOn w:val="8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Bordered &amp; Lined - Accent"/>
    <w:basedOn w:val="8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Bordered &amp; Lined - Accent 1"/>
    <w:basedOn w:val="8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Bordered &amp; Lined - Accent 2"/>
    <w:basedOn w:val="8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Bordered &amp; Lined - Accent 3"/>
    <w:basedOn w:val="8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Bordered &amp; Lined - Accent 4"/>
    <w:basedOn w:val="8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Bordered &amp; Lined - Accent 5"/>
    <w:basedOn w:val="8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Bordered &amp; Lined - Accent 6"/>
    <w:basedOn w:val="8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Bordered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Bordered - Accent 1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Bordered - Accent 2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Bordered - Accent 3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Bordered - Accent 4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Bordered - Accent 5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Bordered - Accent 6"/>
    <w:basedOn w:val="8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97">
    <w:name w:val="Heading 1"/>
    <w:basedOn w:val="845"/>
    <w:next w:val="845"/>
    <w:link w:val="80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798">
    <w:name w:val="Heading 2"/>
    <w:basedOn w:val="845"/>
    <w:next w:val="845"/>
    <w:link w:val="80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799">
    <w:name w:val="Heading 3"/>
    <w:basedOn w:val="845"/>
    <w:next w:val="845"/>
    <w:link w:val="80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00">
    <w:name w:val="Heading 4"/>
    <w:basedOn w:val="845"/>
    <w:next w:val="845"/>
    <w:link w:val="80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01">
    <w:name w:val="Heading 5"/>
    <w:basedOn w:val="845"/>
    <w:next w:val="845"/>
    <w:link w:val="81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02">
    <w:name w:val="Heading 6"/>
    <w:basedOn w:val="845"/>
    <w:next w:val="845"/>
    <w:link w:val="81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03">
    <w:name w:val="Heading 7"/>
    <w:basedOn w:val="845"/>
    <w:next w:val="845"/>
    <w:link w:val="81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04">
    <w:name w:val="Heading 8"/>
    <w:basedOn w:val="845"/>
    <w:next w:val="845"/>
    <w:link w:val="81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05">
    <w:name w:val="Heading 9"/>
    <w:basedOn w:val="845"/>
    <w:next w:val="845"/>
    <w:link w:val="81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06">
    <w:name w:val="Heading 1 Char"/>
    <w:basedOn w:val="846"/>
    <w:link w:val="79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07">
    <w:name w:val="Heading 2 Char"/>
    <w:basedOn w:val="846"/>
    <w:link w:val="79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08">
    <w:name w:val="Heading 3 Char"/>
    <w:basedOn w:val="846"/>
    <w:link w:val="79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09">
    <w:name w:val="Heading 4 Char"/>
    <w:basedOn w:val="846"/>
    <w:link w:val="80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10">
    <w:name w:val="Heading 5 Char"/>
    <w:basedOn w:val="846"/>
    <w:link w:val="80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11">
    <w:name w:val="Heading 6 Char"/>
    <w:basedOn w:val="846"/>
    <w:link w:val="80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12">
    <w:name w:val="Heading 7 Char"/>
    <w:basedOn w:val="846"/>
    <w:link w:val="80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13">
    <w:name w:val="Heading 8 Char"/>
    <w:basedOn w:val="846"/>
    <w:link w:val="80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14">
    <w:name w:val="Heading 9 Char"/>
    <w:basedOn w:val="846"/>
    <w:link w:val="80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15">
    <w:name w:val="Title"/>
    <w:basedOn w:val="845"/>
    <w:next w:val="845"/>
    <w:link w:val="81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16">
    <w:name w:val="Title Char"/>
    <w:basedOn w:val="846"/>
    <w:link w:val="81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17">
    <w:name w:val="Subtitle"/>
    <w:basedOn w:val="845"/>
    <w:next w:val="845"/>
    <w:link w:val="81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18">
    <w:name w:val="Subtitle Char"/>
    <w:basedOn w:val="846"/>
    <w:link w:val="81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19">
    <w:name w:val="Quote"/>
    <w:basedOn w:val="845"/>
    <w:next w:val="845"/>
    <w:link w:val="82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20">
    <w:name w:val="Quote Char"/>
    <w:basedOn w:val="846"/>
    <w:link w:val="81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21">
    <w:name w:val="Intense Emphasis"/>
    <w:basedOn w:val="84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22">
    <w:name w:val="Intense Quote"/>
    <w:basedOn w:val="845"/>
    <w:next w:val="845"/>
    <w:link w:val="82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23">
    <w:name w:val="Intense Quote Char"/>
    <w:basedOn w:val="846"/>
    <w:link w:val="82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24">
    <w:name w:val="Intense Reference"/>
    <w:basedOn w:val="84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25">
    <w:name w:val="No Spacing"/>
    <w:basedOn w:val="845"/>
    <w:uiPriority w:val="1"/>
    <w:qFormat/>
    <w:pPr>
      <w:pBdr/>
      <w:spacing w:after="0" w:line="240" w:lineRule="auto"/>
      <w:ind/>
    </w:pPr>
  </w:style>
  <w:style w:type="character" w:styleId="826">
    <w:name w:val="Subtle Emphasis"/>
    <w:basedOn w:val="84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27">
    <w:name w:val="Emphasis"/>
    <w:basedOn w:val="846"/>
    <w:uiPriority w:val="20"/>
    <w:qFormat/>
    <w:pPr>
      <w:pBdr/>
      <w:spacing/>
      <w:ind/>
    </w:pPr>
    <w:rPr>
      <w:i/>
      <w:iCs/>
    </w:rPr>
  </w:style>
  <w:style w:type="character" w:styleId="828">
    <w:name w:val="Strong"/>
    <w:basedOn w:val="846"/>
    <w:uiPriority w:val="22"/>
    <w:qFormat/>
    <w:pPr>
      <w:pBdr/>
      <w:spacing/>
      <w:ind/>
    </w:pPr>
    <w:rPr>
      <w:b/>
      <w:bCs/>
    </w:rPr>
  </w:style>
  <w:style w:type="character" w:styleId="829">
    <w:name w:val="Subtle Reference"/>
    <w:basedOn w:val="84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30">
    <w:name w:val="Book Title"/>
    <w:basedOn w:val="84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31">
    <w:name w:val="Header"/>
    <w:basedOn w:val="845"/>
    <w:link w:val="83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32">
    <w:name w:val="Header Char"/>
    <w:basedOn w:val="846"/>
    <w:link w:val="831"/>
    <w:uiPriority w:val="99"/>
    <w:pPr>
      <w:pBdr/>
      <w:spacing/>
      <w:ind/>
    </w:pPr>
  </w:style>
  <w:style w:type="paragraph" w:styleId="833">
    <w:name w:val="Footer"/>
    <w:basedOn w:val="845"/>
    <w:link w:val="83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34">
    <w:name w:val="Footer Char"/>
    <w:basedOn w:val="846"/>
    <w:link w:val="833"/>
    <w:uiPriority w:val="99"/>
    <w:pPr>
      <w:pBdr/>
      <w:spacing/>
      <w:ind/>
    </w:pPr>
  </w:style>
  <w:style w:type="paragraph" w:styleId="835">
    <w:name w:val="footnote text"/>
    <w:basedOn w:val="845"/>
    <w:link w:val="83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36">
    <w:name w:val="Footnote Text Char"/>
    <w:basedOn w:val="846"/>
    <w:link w:val="835"/>
    <w:uiPriority w:val="99"/>
    <w:semiHidden/>
    <w:pPr>
      <w:pBdr/>
      <w:spacing/>
      <w:ind/>
    </w:pPr>
    <w:rPr>
      <w:sz w:val="20"/>
      <w:szCs w:val="20"/>
    </w:rPr>
  </w:style>
  <w:style w:type="character" w:styleId="837">
    <w:name w:val="footnote reference"/>
    <w:basedOn w:val="846"/>
    <w:uiPriority w:val="99"/>
    <w:semiHidden/>
    <w:unhideWhenUsed/>
    <w:pPr>
      <w:pBdr/>
      <w:spacing/>
      <w:ind/>
    </w:pPr>
    <w:rPr>
      <w:vertAlign w:val="superscript"/>
    </w:rPr>
  </w:style>
  <w:style w:type="paragraph" w:styleId="838">
    <w:name w:val="endnote text"/>
    <w:basedOn w:val="845"/>
    <w:link w:val="83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39">
    <w:name w:val="Endnote Text Char"/>
    <w:basedOn w:val="846"/>
    <w:link w:val="838"/>
    <w:uiPriority w:val="99"/>
    <w:semiHidden/>
    <w:pPr>
      <w:pBdr/>
      <w:spacing/>
      <w:ind/>
    </w:pPr>
    <w:rPr>
      <w:sz w:val="20"/>
      <w:szCs w:val="20"/>
    </w:rPr>
  </w:style>
  <w:style w:type="character" w:styleId="840">
    <w:name w:val="endnote reference"/>
    <w:basedOn w:val="846"/>
    <w:uiPriority w:val="99"/>
    <w:semiHidden/>
    <w:unhideWhenUsed/>
    <w:pPr>
      <w:pBdr/>
      <w:spacing/>
      <w:ind/>
    </w:pPr>
    <w:rPr>
      <w:vertAlign w:val="superscript"/>
    </w:rPr>
  </w:style>
  <w:style w:type="character" w:styleId="841">
    <w:name w:val="Hyperlink"/>
    <w:basedOn w:val="84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42">
    <w:name w:val="FollowedHyperlink"/>
    <w:basedOn w:val="84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43">
    <w:name w:val="TOC Heading"/>
    <w:uiPriority w:val="39"/>
    <w:unhideWhenUsed/>
    <w:pPr>
      <w:pBdr/>
      <w:spacing/>
      <w:ind/>
    </w:pPr>
  </w:style>
  <w:style w:type="paragraph" w:styleId="844">
    <w:name w:val="table of figures"/>
    <w:basedOn w:val="845"/>
    <w:next w:val="845"/>
    <w:uiPriority w:val="99"/>
    <w:unhideWhenUsed/>
    <w:pPr>
      <w:pBdr/>
      <w:spacing w:after="0" w:afterAutospacing="0"/>
      <w:ind/>
    </w:pPr>
  </w:style>
  <w:style w:type="paragraph" w:styleId="845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46" w:default="1">
    <w:name w:val="Default Paragraph Font"/>
    <w:uiPriority w:val="1"/>
    <w:semiHidden/>
    <w:unhideWhenUsed/>
    <w:pPr>
      <w:pBdr/>
      <w:spacing/>
      <w:ind/>
    </w:pPr>
  </w:style>
  <w:style w:type="table" w:styleId="847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8" w:default="1">
    <w:name w:val="No List"/>
    <w:uiPriority w:val="99"/>
    <w:semiHidden/>
    <w:unhideWhenUsed/>
    <w:pPr>
      <w:pBdr/>
      <w:spacing/>
      <w:ind/>
    </w:pPr>
  </w:style>
  <w:style w:type="paragraph" w:styleId="849">
    <w:name w:val="Body Text"/>
    <w:basedOn w:val="845"/>
    <w:link w:val="850"/>
    <w:pPr>
      <w:pBdr/>
      <w:spacing/>
      <w:ind/>
      <w:jc w:val="both"/>
    </w:pPr>
    <w:rPr>
      <w:sz w:val="24"/>
    </w:rPr>
  </w:style>
  <w:style w:type="character" w:styleId="850" w:customStyle="1">
    <w:name w:val="Основной текст Знак"/>
    <w:basedOn w:val="846"/>
    <w:link w:val="849"/>
    <w:pPr>
      <w:pBdr/>
      <w:spacing/>
      <w:ind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51">
    <w:name w:val="Body Text Indent 2"/>
    <w:basedOn w:val="845"/>
    <w:link w:val="852"/>
    <w:pPr>
      <w:pBdr/>
      <w:spacing/>
      <w:ind w:firstLine="851"/>
      <w:jc w:val="both"/>
    </w:pPr>
    <w:rPr>
      <w:sz w:val="28"/>
    </w:rPr>
  </w:style>
  <w:style w:type="character" w:styleId="852" w:customStyle="1">
    <w:name w:val="Основной текст с отступом 2 Знак"/>
    <w:basedOn w:val="846"/>
    <w:link w:val="851"/>
    <w:pPr>
      <w:pBdr/>
      <w:spacing/>
      <w:ind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53">
    <w:name w:val="Caption"/>
    <w:basedOn w:val="845"/>
    <w:qFormat/>
    <w:pPr>
      <w:pBdr/>
      <w:spacing/>
      <w:ind/>
      <w:jc w:val="center"/>
    </w:pPr>
    <w:rPr>
      <w:b/>
      <w:sz w:val="32"/>
    </w:rPr>
  </w:style>
  <w:style w:type="paragraph" w:styleId="854" w:customStyle="1">
    <w:name w:val="ConsPlusNonformat"/>
    <w:pPr>
      <w:widowControl w:val="false"/>
      <w:pBdr/>
      <w:spacing w:after="0" w:line="240" w:lineRule="auto"/>
      <w:ind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55" w:customStyle="1">
    <w:name w:val="ConsPlusTitle"/>
    <w:pPr>
      <w:widowControl w:val="false"/>
      <w:pBdr/>
      <w:spacing w:after="0" w:line="240" w:lineRule="auto"/>
      <w:ind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56" w:customStyle="1">
    <w:name w:val="ConsPlusCell"/>
    <w:pPr>
      <w:widowControl w:val="false"/>
      <w:pBdr/>
      <w:spacing w:after="0" w:line="240" w:lineRule="auto"/>
      <w:ind/>
    </w:pPr>
    <w:rPr>
      <w:rFonts w:ascii="Arial" w:hAnsi="Arial" w:eastAsia="Times New Roman" w:cs="Arial"/>
      <w:sz w:val="20"/>
      <w:szCs w:val="20"/>
      <w:lang w:eastAsia="ru-RU"/>
    </w:rPr>
  </w:style>
  <w:style w:type="paragraph" w:styleId="857">
    <w:name w:val="Balloon Text"/>
    <w:basedOn w:val="845"/>
    <w:link w:val="858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58" w:customStyle="1">
    <w:name w:val="Текст выноски Знак"/>
    <w:basedOn w:val="846"/>
    <w:link w:val="857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table" w:styleId="859">
    <w:name w:val="Table Grid"/>
    <w:basedOn w:val="847"/>
    <w:uiPriority w:val="59"/>
    <w:unhideWhenUsed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0">
    <w:name w:val="Document Map"/>
    <w:basedOn w:val="845"/>
    <w:link w:val="861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861" w:customStyle="1">
    <w:name w:val="Схема документа Знак"/>
    <w:basedOn w:val="846"/>
    <w:link w:val="860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862" w:customStyle="1">
    <w:name w:val="ConsPlusNormal"/>
    <w:pPr>
      <w:widowControl w:val="false"/>
      <w:pBdr/>
      <w:spacing w:after="0" w:line="240" w:lineRule="auto"/>
      <w:ind/>
    </w:pPr>
    <w:rPr>
      <w:rFonts w:ascii="Arial" w:hAnsi="Arial" w:cs="Arial" w:eastAsiaTheme="minorEastAsia"/>
      <w:sz w:val="20"/>
      <w:lang w:eastAsia="ru-RU"/>
    </w:rPr>
  </w:style>
  <w:style w:type="paragraph" w:styleId="863">
    <w:name w:val="List Paragraph"/>
    <w:basedOn w:val="845"/>
    <w:uiPriority w:val="34"/>
    <w:qFormat/>
    <w:pPr>
      <w:pBdr/>
      <w:spacing/>
      <w:ind w:left="720"/>
      <w:contextualSpacing w:val="true"/>
    </w:pPr>
    <w:rPr>
      <w:sz w:val="24"/>
      <w:szCs w:val="24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Relationship Id="rId11" Type="http://schemas.openxmlformats.org/officeDocument/2006/relationships/hyperlink" Target="https://login.consultant.ru/link/?req=doc&amp;base=LAW&amp;n=474031&amp;date=04.10.202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DB0C3-E1DF-4712-8C70-D7069C6E3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>Hewlett-Packard Company</Company>
  <DocSecurity>0</DocSecurity>
  <HyperlinksChanged>false</HyperlinksChanged>
  <LinksUpToDate>false</LinksUpToDate>
  <ScaleCrop>false</ScaleCrop>
  <SharedDoc>false</SharedDoc>
  <Template>Шаблон Постановление администрации (новое)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14</cp:revision>
  <dcterms:created xsi:type="dcterms:W3CDTF">2024-01-18T10:19:00Z</dcterms:created>
  <dcterms:modified xsi:type="dcterms:W3CDTF">2024-10-10T12:19:28Z</dcterms:modified>
</cp:coreProperties>
</file>